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Футур II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after="160" w:line="252.00000000000003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савладали појам глаголског начина и тачно одређују могућу радњу исказану потенцијалом.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успешно препознавати футур II у тексту.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гради футур II и одређује саставне елементе који учествују у грађењу овог глаголског облика.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обновио је знање о помоћним глаголима.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успешно одређује футур II у реченици и морфолошки и синтаксички га анализира.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демонстративна,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креда, табла, пројектор,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наствник објашњава појам футура II у контексту осталих глагослких облика.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Средњи део часа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наводи примере којима дочарава важност употребе овог глаголског облика. Наставник преко низа питања провера јесу ли ученици схватили употребу овог глаголског облика. Наставаник ученицима указује на сродне глагоске облике у енглеском језику.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ученицима задаје домаћи задатак из радног листа и укратко их упућује како да обнављају стечена знања из области глагослких облика.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omVkyaCElZojke8j2sVq/B/u8w==">CgMxLjA4AHIhMWVISzBaUDEydjNoWVhtZ1NCRm53YkhFZUtnQ1ljWjlv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